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44" w:before="144" w:lineRule="auto"/>
        <w:rPr/>
      </w:pPr>
      <w:bookmarkStart w:colFirst="0" w:colLast="0" w:name="_heading=h.grywgggxgm06" w:id="0"/>
      <w:bookmarkEnd w:id="0"/>
      <w:r w:rsidDel="00000000" w:rsidR="00000000" w:rsidRPr="00000000">
        <w:rPr>
          <w:rtl w:val="0"/>
        </w:rPr>
        <w:t xml:space="preserve">Anexa nr. 5</w:t>
      </w:r>
    </w:p>
    <w:p w:rsidR="00000000" w:rsidDel="00000000" w:rsidP="00000000" w:rsidRDefault="00000000" w:rsidRPr="00000000" w14:paraId="00000002">
      <w:pPr>
        <w:spacing w:after="144" w:before="144" w:line="276"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3">
      <w:pPr>
        <w:spacing w:after="144" w:before="144" w:line="276" w:lineRule="auto"/>
        <w:ind w:left="1226" w:right="75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GRILA DE VERIFICARE A ELIGIBILITĂȚII - CALIFICAREA PARTICIPANȚILOR</w:t>
      </w:r>
      <w:r w:rsidDel="00000000" w:rsidR="00000000" w:rsidRPr="00000000">
        <w:rPr>
          <w:rtl w:val="0"/>
        </w:rPr>
      </w:r>
    </w:p>
    <w:p w:rsidR="00000000" w:rsidDel="00000000" w:rsidP="00000000" w:rsidRDefault="00000000" w:rsidRPr="00000000" w14:paraId="00000004">
      <w:pPr>
        <w:spacing w:after="144" w:before="144" w:line="276"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5">
      <w:pPr>
        <w:tabs>
          <w:tab w:val="left" w:leader="none" w:pos="6001"/>
        </w:tabs>
        <w:spacing w:after="144" w:before="144" w:line="276" w:lineRule="auto"/>
        <w:ind w:left="818" w:right="75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Denumire aplicant:</w:t>
      </w:r>
      <w:r w:rsidDel="00000000" w:rsidR="00000000" w:rsidRPr="00000000">
        <w:rPr>
          <w:rFonts w:ascii="Times New Roman" w:cs="Times New Roman" w:eastAsia="Times New Roman" w:hAnsi="Times New Roman"/>
          <w:b w:val="1"/>
          <w:bCs w:val="1"/>
          <w:color w:val="000000"/>
          <w:sz w:val="24"/>
          <w:szCs w:val="24"/>
          <w:u w:val="single"/>
          <w:rtl w:val="0"/>
        </w:rPr>
        <w:t xml:space="preserve"> </w:t>
        <w:tab/>
      </w:r>
      <w:r w:rsidDel="00000000" w:rsidR="00000000" w:rsidRPr="00000000">
        <w:rPr>
          <w:rtl w:val="0"/>
        </w:rPr>
      </w:r>
    </w:p>
    <w:p w:rsidR="00000000" w:rsidDel="00000000" w:rsidP="00000000" w:rsidRDefault="00000000" w:rsidRPr="00000000" w14:paraId="00000006">
      <w:pPr>
        <w:spacing w:after="144" w:before="144" w:line="276" w:lineRule="auto"/>
        <w:rPr>
          <w:rFonts w:ascii="Times New Roman" w:cs="Times New Roman" w:eastAsia="Times New Roman" w:hAnsi="Times New Roman"/>
          <w:b w:val="1"/>
          <w:bCs w:val="1"/>
          <w:color w:val="000000"/>
          <w:sz w:val="24"/>
          <w:szCs w:val="24"/>
        </w:rPr>
      </w:pPr>
      <w:r w:rsidDel="00000000" w:rsidR="00000000" w:rsidRPr="00000000">
        <w:rPr>
          <w:rtl w:val="0"/>
        </w:rPr>
      </w:r>
    </w:p>
    <w:tbl>
      <w:tblPr>
        <w:tblStyle w:val="Table1"/>
        <w:tblW w:w="10106.0" w:type="dxa"/>
        <w:jc w:val="left"/>
        <w:tblInd w:w="105.0" w:type="dxa"/>
        <w:tblLayout w:type="fixed"/>
        <w:tblLook w:val="0000"/>
      </w:tblPr>
      <w:tblGrid>
        <w:gridCol w:w="7905"/>
        <w:gridCol w:w="500"/>
        <w:gridCol w:w="567"/>
        <w:gridCol w:w="1134"/>
        <w:tblGridChange w:id="0">
          <w:tblGrid>
            <w:gridCol w:w="7905"/>
            <w:gridCol w:w="500"/>
            <w:gridCol w:w="567"/>
            <w:gridCol w:w="1134"/>
          </w:tblGrid>
        </w:tblGridChange>
      </w:tblGrid>
      <w:tr>
        <w:trPr>
          <w:cantSplit w:val="0"/>
          <w:trHeight w:val="10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Criterii calificare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96" w:right="0" w:firstLine="10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 ESTE CAZUL / MENȚIUNI</w:t>
            </w:r>
            <w:r w:rsidDel="00000000" w:rsidR="00000000" w:rsidRPr="00000000">
              <w:rPr>
                <w:rtl w:val="0"/>
              </w:rPr>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Conformitatea depunerii aplicației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26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Aplicația a fost depusă prin una din modalitățile de depunere specificate în Anunț?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Aplicația depusă respectă cerințele formale impuse în Anunț?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10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Candidatura a fost depusă în termenul limită precizat în Anunț, aferent modalității de depunere?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Conformitatea documentelor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Au fost depuse toate documentele solicitate în Anunț?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Documentele solicitate respectă modelele publicate în Anunț?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Documentele depuse sunt integral și corect completate, semnate?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Eligibilitatea candidatului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Aplicantul are personalitate juridică?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10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Aplicantul este organizație neguvernamentală, cu activitate relevantă pentru activitățile proiectului?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1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10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Aplicantul are prevăzut în documentele statutare obiective / activități de natura celor care sunt necesare implementării proiectului, conform cu activitatea/activităţile în care este implicat?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34" w:right="104" w:hanging="3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Aplicantul este în situație de criză financiară/ redresare financiară/ în stare de insolvență, conform Ordonanței de urgență a Guvernului nr. 46/2013 privind criza financiară și insolvența unităților administrativ teritoriale, cu modificările și completările ulterioare, respectiv se afla într-o procedură de insolvență conform Legii nr. 85/2014 privind procedurile de prevenire a insolvenței şi de insolvență, cu modificările și completările ulterioare, după caz. În cazul partenerilor transnaționali, se află într-o situație similară reglementată la nivelul cadrului legal aferent statului de proveniență?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34" w:right="10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Aplicantul se află în stare de faliment sau face obiectul unei proceduri de lichidare sau de administrare judiciară, are încheiate concordate, şi-a suspendat/ întrerupt activitatea în ultimii 2 ani dinaintea depunerii cererii de finanțare sau face obiectul unei proceduri în urma acestor situații sau se află în situații similare în urma unei proceduri de aceeași natură prevăzute de legislația sau de reglementările naționale 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8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Aplicantul se încadrează, din punct de vedere al obligațiilor de plată restante la bugetele publice, într-una din situația în care obligațiile de plată nete depășesc 1/12 din totalul obligațiilor datorate în ultimele 12 luni, în cazul certificatului de atestare fiscală emis de Agenția Națională de Administrare Fiscală?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0" w:right="11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Aplicantul se încadrează, din punct de vedere al obligațiilor de plată restante la bugetele locale, în situația în care obligațiile de plată nete depășesc 1/6 din totalul obligațiilor datorate la bugetele alocate în ultimul semestru încheiat?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50"/>
          <w:tab w:val="left" w:leader="none" w:pos="9781"/>
        </w:tabs>
        <w:spacing w:after="144" w:before="144" w:line="276" w:lineRule="auto"/>
        <w:ind w:left="0" w:right="-3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Candidatul se consideră eligibil - calificat în cazul în care la cerințele nr.1-10 a fost bifată rubrica "DA" și la cerințele 11-14 a fost bifată rubrica "NU".</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4301490</wp:posOffset>
                </wp:positionH>
                <wp:positionV relativeFrom="paragraph">
                  <wp:posOffset>167005</wp:posOffset>
                </wp:positionV>
                <wp:extent cx="47625" cy="1270"/>
                <wp:effectExtent b="0" l="0" r="0" t="0"/>
                <wp:wrapNone/>
                <wp:docPr id="2" name=""/>
                <a:graphic>
                  <a:graphicData uri="http://schemas.microsoft.com/office/word/2010/wordprocessingGroup">
                    <wpg:wgp>
                      <wpg:cNvGrpSpPr/>
                      <wpg:grpSpPr>
                        <a:xfrm>
                          <a:off x="5322175" y="3774025"/>
                          <a:ext cx="47625" cy="1270"/>
                          <a:chOff x="5322175" y="3774025"/>
                          <a:chExt cx="47650" cy="10675"/>
                        </a:xfrm>
                      </wpg:grpSpPr>
                      <wpg:grpSp>
                        <wpg:cNvGrpSpPr/>
                        <wpg:grpSpPr>
                          <a:xfrm>
                            <a:off x="5322188" y="3779365"/>
                            <a:ext cx="47625" cy="1270"/>
                            <a:chOff x="8214" y="263"/>
                            <a:chExt cx="75" cy="2"/>
                          </a:xfrm>
                        </wpg:grpSpPr>
                        <wps:wsp>
                          <wps:cNvSpPr/>
                          <wps:cNvPr id="3" name="Shape 3"/>
                          <wps:spPr>
                            <a:xfrm>
                              <a:off x="8214" y="263"/>
                              <a:ext cx="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8214" y="263"/>
                              <a:ext cx="75" cy="2"/>
                            </a:xfrm>
                            <a:custGeom>
                              <a:rect b="b" l="l" r="r" t="t"/>
                              <a:pathLst>
                                <a:path extrusionOk="0" h="120000" w="75">
                                  <a:moveTo>
                                    <a:pt x="0" y="0"/>
                                  </a:moveTo>
                                  <a:lnTo>
                                    <a:pt x="75" y="0"/>
                                  </a:lnTo>
                                </a:path>
                              </a:pathLst>
                            </a:custGeom>
                            <a:noFill/>
                            <a:ln cap="flat" cmpd="sng" w="106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4301490</wp:posOffset>
                </wp:positionH>
                <wp:positionV relativeFrom="paragraph">
                  <wp:posOffset>167005</wp:posOffset>
                </wp:positionV>
                <wp:extent cx="47625" cy="127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7625" cy="1270"/>
                        </a:xfrm>
                        <a:prstGeom prst="rect"/>
                        <a:ln/>
                      </pic:spPr>
                    </pic:pic>
                  </a:graphicData>
                </a:graphic>
              </wp:anchor>
            </w:drawing>
          </mc:Fallback>
        </mc:AlternateContent>
      </w:r>
    </w:p>
    <w:p w:rsidR="00000000" w:rsidDel="00000000" w:rsidP="00000000" w:rsidRDefault="00000000" w:rsidRPr="00000000" w14:paraId="0000004C">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spacing w:after="144" w:before="144" w:line="276" w:lineRule="auto"/>
        <w:ind w:left="818" w:righ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Comisia de evaluare: </w:t>
      </w:r>
      <w:r w:rsidDel="00000000" w:rsidR="00000000" w:rsidRPr="00000000">
        <w:rPr>
          <w:rFonts w:ascii="Times New Roman" w:cs="Times New Roman" w:eastAsia="Times New Roman" w:hAnsi="Times New Roman"/>
          <w:color w:val="000000"/>
          <w:sz w:val="24"/>
          <w:szCs w:val="24"/>
          <w:rtl w:val="0"/>
        </w:rPr>
        <w:t xml:space="preserve">Președinte – </w:t>
      </w:r>
    </w:p>
    <w:p w:rsidR="00000000" w:rsidDel="00000000" w:rsidP="00000000" w:rsidRDefault="00000000" w:rsidRPr="00000000" w14:paraId="0000004E">
      <w:pPr>
        <w:spacing w:after="144" w:before="144" w:line="276" w:lineRule="auto"/>
        <w:ind w:left="818" w:righ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Membru –</w:t>
      </w:r>
    </w:p>
    <w:p w:rsidR="00000000" w:rsidDel="00000000" w:rsidP="00000000" w:rsidRDefault="00000000" w:rsidRPr="00000000" w14:paraId="0000004F">
      <w:pPr>
        <w:spacing w:after="144" w:before="144" w:line="276" w:lineRule="auto"/>
        <w:ind w:left="818" w:righ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Membru –</w:t>
      </w:r>
    </w:p>
    <w:p w:rsidR="00000000" w:rsidDel="00000000" w:rsidP="00000000" w:rsidRDefault="00000000" w:rsidRPr="00000000" w14:paraId="00000050">
      <w:pPr>
        <w:spacing w:after="144" w:before="144"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Secretar – </w:t>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144" w:before="144" w:line="276" w:lineRule="auto"/>
      <w:ind w:right="4"/>
    </w:pPr>
    <w:rPr>
      <w:rFonts w:ascii="Times New Roman" w:cs="Times New Roman" w:eastAsia="Times New Roman" w:hAnsi="Times New Roman"/>
      <w:b w:val="1"/>
      <w:bCs w:val="1"/>
      <w:color w:val="000000"/>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Titlu2Caracter" w:customStyle="1">
    <w:name w:val="Titlu 2 Caracter"/>
    <w:aliases w:val="Nadpis_2 Caracter,AB Caracter,Numbered - 2 Caracter,Sub Heading Caracter,ignorer2 Caracter,Heading 2 Char1 Caracter,Heading 2 Char Char Caracter"/>
    <w:basedOn w:val="Fontdeparagrafimplicit"/>
    <w:link w:val="Titlu2"/>
    <w:uiPriority w:val="9"/>
    <w:rsid w:val="003E793B"/>
    <w:rPr>
      <w:rFonts w:ascii="Times New Roman" w:cs="Times New Roman" w:eastAsia="Times New Roman" w:hAnsi="Times New Roman"/>
      <w:b w:val="1"/>
      <w:bCs w:val="1"/>
      <w:color w:val="000000" w:themeColor="text1"/>
      <w:sz w:val="24"/>
      <w:szCs w:val="24"/>
      <w:lang w:eastAsia="ro-RO" w:val="ro-RO"/>
    </w:rPr>
  </w:style>
  <w:style w:type="paragraph" w:styleId="Corptext">
    <w:name w:val="Body Text"/>
    <w:basedOn w:val="Normal"/>
    <w:link w:val="CorptextCaracter"/>
    <w:uiPriority w:val="1"/>
    <w:qFormat w:val="1"/>
    <w:rsid w:val="003E793B"/>
    <w:pPr>
      <w:widowControl w:val="0"/>
      <w:ind w:left="138"/>
    </w:pPr>
    <w:rPr>
      <w:rFonts w:ascii="Calibri" w:cs="Times New Roman" w:eastAsia="Calibri" w:hAnsi="Calibri"/>
      <w:sz w:val="24"/>
      <w:szCs w:val="24"/>
    </w:rPr>
  </w:style>
  <w:style w:type="character" w:styleId="CorptextCaracter" w:customStyle="1">
    <w:name w:val="Corp text Caracter"/>
    <w:basedOn w:val="Fontdeparagrafimplicit"/>
    <w:link w:val="Corptext"/>
    <w:uiPriority w:val="1"/>
    <w:rsid w:val="003E793B"/>
    <w:rPr>
      <w:rFonts w:ascii="Calibri" w:cs="Times New Roman" w:eastAsia="Calibri" w:hAnsi="Calibri"/>
      <w:sz w:val="24"/>
      <w:szCs w:val="24"/>
    </w:rPr>
  </w:style>
  <w:style w:type="paragraph" w:styleId="TableParagraph" w:customStyle="1">
    <w:name w:val="Table Paragraph"/>
    <w:basedOn w:val="Normal"/>
    <w:uiPriority w:val="1"/>
    <w:qFormat w:val="1"/>
    <w:rsid w:val="003E793B"/>
    <w:pPr>
      <w:widowContro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oDMWxMQCJyuOLwAO1hMBhJtotg==">CgMxLjAyDmguZ3J5d2dnZ3hnbTA2OAByITFQWkZXc0NIWlo4Z3VTM3pJdzZqcEd1OGZGZVpCNjdFVQ==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2025-12-29T11:46:00Z</dcterms:created>
  <dc:creator>3305393602731</dc:creator>
</cp:coreProperties>
</file>